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 xml:space="preserve">Branislav Gnip, so sídlom 06781 Belá nad Cirochou, Drieňová 840/38, IČO: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52 649 903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user">
    <w:name w:val="Odrážky (user)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gisteruser">
    <w:name w:val="Register (user)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LibreOffice/25.2.1.2$Windows_X86_64 LibreOffice_project/d3abf4aee5fd705e4a92bba33a32f40bc4e56f49</Application>
  <AppVersion>15.0000</AppVersion>
  <Pages>2</Pages>
  <Words>286</Words>
  <Characters>1932</Characters>
  <CharactersWithSpaces>2202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>Štefan Mačák</cp:lastModifiedBy>
  <dcterms:modified xsi:type="dcterms:W3CDTF">2025-03-19T09:29:32Z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